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974" w:rsidRPr="000D0974" w:rsidRDefault="000D0974" w:rsidP="000D0974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PROFILES IBSE </w:t>
      </w:r>
      <w:r w:rsidR="00694DF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Teaching/Learning </w:t>
      </w: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Materials for Teachers</w:t>
      </w:r>
    </w:p>
    <w:p w:rsidR="000D0974" w:rsidRPr="000D0974" w:rsidRDefault="000D0974" w:rsidP="000D0974">
      <w:pPr>
        <w:tabs>
          <w:tab w:val="left" w:pos="1755"/>
        </w:tabs>
        <w:spacing w:after="60"/>
        <w:rPr>
          <w:rFonts w:ascii="Arial" w:hAnsi="Arial" w:cs="Arial"/>
          <w:color w:val="808080" w:themeColor="background1" w:themeShade="80"/>
          <w:lang w:val="en-GB"/>
        </w:rPr>
      </w:pPr>
      <w:proofErr w:type="gramStart"/>
      <w:r w:rsidRPr="000D0974">
        <w:rPr>
          <w:rFonts w:ascii="Arial" w:hAnsi="Arial" w:cs="Arial"/>
          <w:color w:val="808080" w:themeColor="background1" w:themeShade="80"/>
          <w:lang w:val="en-GB"/>
        </w:rPr>
        <w:t>compiled</w:t>
      </w:r>
      <w:proofErr w:type="gramEnd"/>
      <w:r w:rsidRPr="000D0974">
        <w:rPr>
          <w:rFonts w:ascii="Arial" w:hAnsi="Arial" w:cs="Arial"/>
          <w:color w:val="808080" w:themeColor="background1" w:themeShade="80"/>
          <w:lang w:val="en-GB"/>
        </w:rPr>
        <w:t xml:space="preserve"> by the PROFILES Working Group of the Freie Universität Berlin – Germany</w:t>
      </w:r>
    </w:p>
    <w:p w:rsidR="009F65B3" w:rsidRPr="000D0974" w:rsidRDefault="009F65B3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en-GB"/>
        </w:rPr>
      </w:pPr>
    </w:p>
    <w:p w:rsidR="009F65B3" w:rsidRPr="00CD1111" w:rsidRDefault="00040811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6"/>
          <w:szCs w:val="36"/>
          <w:lang w:val="en-GB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in;margin-top:59.25pt;width:312pt;height:103pt;z-index:251660288;mso-width-relative:margin;mso-height-relative:margin" filled="f" stroked="f">
            <v:textbox style="mso-next-textbox:#_x0000_s1037">
              <w:txbxContent>
                <w:p w:rsidR="00A76CD4" w:rsidRDefault="00A76CD4" w:rsidP="00A76CD4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</w:pPr>
                  <w:proofErr w:type="spellStart"/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>Berufe-NaWigator</w:t>
                  </w:r>
                  <w:proofErr w:type="spellEnd"/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 xml:space="preserve"> – Science-related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t xml:space="preserve"> </w:t>
                  </w:r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>Occupational Orientation:</w:t>
                  </w:r>
                  <w:r w:rsidRPr="00A057E8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t xml:space="preserve"> </w:t>
                  </w:r>
                </w:p>
                <w:p w:rsidR="00A76CD4" w:rsidRPr="00A057E8" w:rsidRDefault="00A76CD4" w:rsidP="00A76CD4">
                  <w:pPr>
                    <w:jc w:val="center"/>
                    <w:rPr>
                      <w:rFonts w:ascii="Arial" w:hAnsi="Arial"/>
                      <w:color w:val="FFFFFF" w:themeColor="background1"/>
                      <w:sz w:val="48"/>
                      <w:szCs w:val="48"/>
                      <w:lang w:val="en-GB"/>
                    </w:rPr>
                  </w:pPr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br/>
                  </w:r>
                  <w:r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  <w:lang w:val="en-GB"/>
                    </w:rPr>
                    <w:t>“Laboratory Chemist”</w:t>
                  </w:r>
                </w:p>
                <w:p w:rsidR="00A76CD4" w:rsidRPr="00A057E8" w:rsidRDefault="00A76CD4" w:rsidP="00A76CD4">
                  <w:pPr>
                    <w:rPr>
                      <w:sz w:val="44"/>
                      <w:szCs w:val="44"/>
                      <w:lang w:val="en-GB"/>
                    </w:rPr>
                  </w:pPr>
                </w:p>
                <w:p w:rsidR="00897D87" w:rsidRPr="00A057E8" w:rsidRDefault="00897D87" w:rsidP="009F65B3">
                  <w:pPr>
                    <w:rPr>
                      <w:sz w:val="44"/>
                      <w:szCs w:val="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897D87" w:rsidRDefault="00355E79" w:rsidP="009F65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609090" cy="1207135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AM_306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090" cy="1207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40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anchorlock/>
          </v:rect>
        </w:pict>
      </w:r>
    </w:p>
    <w:p w:rsidR="009F65B3" w:rsidRPr="00CD1111" w:rsidRDefault="00040811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8" type="#_x0000_t202" style="position:absolute;left:0;text-align:left;margin-left:131.5pt;margin-top:2.95pt;width:324.5pt;height:64.05pt;z-index:251661312;mso-width-relative:margin;mso-height-relative:margin" stroked="f">
            <v:textbox>
              <w:txbxContent>
                <w:p w:rsidR="00897D87" w:rsidRPr="00A057E8" w:rsidRDefault="00897D87" w:rsidP="009F65B3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</w:pPr>
                  <w:r w:rsidRPr="00A057E8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 xml:space="preserve">A Module for Science Instruction – especially Chemistry – for Grades </w:t>
                  </w:r>
                  <w:r w:rsidR="000352A2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>8 / 9</w:t>
                  </w:r>
                </w:p>
              </w:txbxContent>
            </v:textbox>
          </v:shape>
        </w:pict>
      </w: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Developed by: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="000352A2">
        <w:rPr>
          <w:rFonts w:ascii="Arial" w:hAnsi="Arial" w:cs="Arial"/>
          <w:color w:val="808080" w:themeColor="background1" w:themeShade="80"/>
          <w:lang w:val="en-US"/>
        </w:rPr>
        <w:t xml:space="preserve">Michael Albertus 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>(20</w:t>
      </w:r>
      <w:r w:rsidR="000352A2">
        <w:rPr>
          <w:rFonts w:ascii="Arial" w:hAnsi="Arial" w:cs="Arial"/>
          <w:color w:val="808080" w:themeColor="background1" w:themeShade="80"/>
          <w:lang w:val="en-US"/>
        </w:rPr>
        <w:t>12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>)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Institution: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Department of Chemistry Education, Freie Universität Berlin</w:t>
      </w:r>
      <w:r w:rsidR="00897D87">
        <w:rPr>
          <w:rFonts w:ascii="Arial" w:hAnsi="Arial" w:cs="Arial"/>
          <w:color w:val="808080" w:themeColor="background1" w:themeShade="80"/>
          <w:lang w:val="en-US"/>
        </w:rPr>
        <w:t xml:space="preserve"> – Germany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231B79" w:rsidRPr="00897D87" w:rsidRDefault="00231B79" w:rsidP="00231B79">
      <w:pPr>
        <w:pStyle w:val="berschrift1"/>
        <w:rPr>
          <w:rFonts w:ascii="Arial" w:hAnsi="Arial"/>
          <w:color w:val="595959" w:themeColor="text1" w:themeTint="A6"/>
          <w:lang w:val="en-GB"/>
        </w:rPr>
      </w:pPr>
      <w:r w:rsidRPr="00897D87">
        <w:rPr>
          <w:rFonts w:ascii="Arial" w:hAnsi="Arial"/>
          <w:color w:val="595959" w:themeColor="text1" w:themeTint="A6"/>
          <w:lang w:val="en-GB"/>
        </w:rPr>
        <w:t>Module Content</w:t>
      </w:r>
    </w:p>
    <w:p w:rsidR="0099516D" w:rsidRDefault="006C4043" w:rsidP="0099516D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  <w:r>
        <w:rPr>
          <w:rFonts w:ascii="Arial" w:hAnsi="Arial" w:cs="Arial"/>
          <w:color w:val="595959" w:themeColor="text1" w:themeTint="A6"/>
          <w:lang w:val="en-GB"/>
        </w:rPr>
        <w:t>The integration of elements</w:t>
      </w:r>
      <w:r w:rsidR="00F55328">
        <w:rPr>
          <w:rFonts w:ascii="Arial" w:hAnsi="Arial" w:cs="Arial"/>
          <w:color w:val="595959" w:themeColor="text1" w:themeTint="A6"/>
          <w:lang w:val="en-GB"/>
        </w:rPr>
        <w:t xml:space="preserve"> of occupational orientation</w:t>
      </w:r>
      <w:r>
        <w:rPr>
          <w:rFonts w:ascii="Arial" w:hAnsi="Arial" w:cs="Arial"/>
          <w:color w:val="595959" w:themeColor="text1" w:themeTint="A6"/>
          <w:lang w:val="en-GB"/>
        </w:rPr>
        <w:t xml:space="preserve"> into chemistry-related learning environments offers another possibility for supporting students in their occupational orientation. </w:t>
      </w:r>
      <w:r w:rsidRPr="006C4043">
        <w:rPr>
          <w:rFonts w:ascii="Arial" w:hAnsi="Arial" w:cs="Arial"/>
          <w:color w:val="595959" w:themeColor="text1" w:themeTint="A6"/>
          <w:lang w:val="en-US"/>
        </w:rPr>
        <w:t xml:space="preserve">For this purpose, information on chemistry-related occupations, selected practical vocational activities </w:t>
      </w:r>
      <w:r w:rsidR="005B605E">
        <w:rPr>
          <w:rFonts w:ascii="Arial" w:hAnsi="Arial" w:cs="Arial"/>
          <w:color w:val="595959" w:themeColor="text1" w:themeTint="A6"/>
          <w:lang w:val="en-US"/>
        </w:rPr>
        <w:t>and curriculum-based contents are combined. In the module “Laboratory Chemist</w:t>
      </w:r>
      <w:r w:rsidR="00F55328">
        <w:rPr>
          <w:rFonts w:ascii="Arial" w:hAnsi="Arial" w:cs="Arial"/>
          <w:color w:val="595959" w:themeColor="text1" w:themeTint="A6"/>
          <w:lang w:val="en-US"/>
        </w:rPr>
        <w:t xml:space="preserve"> </w:t>
      </w:r>
      <w:r w:rsidR="005B605E">
        <w:rPr>
          <w:rFonts w:ascii="Arial" w:hAnsi="Arial" w:cs="Arial"/>
          <w:color w:val="595959" w:themeColor="text1" w:themeTint="A6"/>
          <w:lang w:val="en-US"/>
        </w:rPr>
        <w:t>/</w:t>
      </w:r>
      <w:r w:rsidR="00F55328">
        <w:rPr>
          <w:rFonts w:ascii="Arial" w:hAnsi="Arial" w:cs="Arial"/>
          <w:color w:val="595959" w:themeColor="text1" w:themeTint="A6"/>
          <w:lang w:val="en-US"/>
        </w:rPr>
        <w:t xml:space="preserve"> A</w:t>
      </w:r>
      <w:r w:rsidR="005B605E">
        <w:rPr>
          <w:rFonts w:ascii="Arial" w:hAnsi="Arial" w:cs="Arial"/>
          <w:color w:val="595959" w:themeColor="text1" w:themeTint="A6"/>
          <w:lang w:val="en-US"/>
        </w:rPr>
        <w:t xml:space="preserve">cid-base titration”, the occupation of laboratory chemists is chosen as reference occupation. </w:t>
      </w:r>
      <w:r w:rsidR="005B605E" w:rsidRPr="005B605E">
        <w:rPr>
          <w:rFonts w:ascii="Arial" w:hAnsi="Arial" w:cs="Arial"/>
          <w:color w:val="595959" w:themeColor="text1" w:themeTint="A6"/>
          <w:lang w:val="en-US"/>
        </w:rPr>
        <w:t>The acid-ba</w:t>
      </w:r>
      <w:r w:rsidR="009B2E0C">
        <w:rPr>
          <w:rFonts w:ascii="Arial" w:hAnsi="Arial" w:cs="Arial"/>
          <w:color w:val="595959" w:themeColor="text1" w:themeTint="A6"/>
          <w:lang w:val="en-US"/>
        </w:rPr>
        <w:t xml:space="preserve">se titration is assigned to the </w:t>
      </w:r>
      <w:r w:rsidR="005B605E" w:rsidRPr="005B605E">
        <w:rPr>
          <w:rFonts w:ascii="Arial" w:hAnsi="Arial" w:cs="Arial"/>
          <w:color w:val="595959" w:themeColor="text1" w:themeTint="A6"/>
          <w:lang w:val="en-US"/>
        </w:rPr>
        <w:t>occupation as a</w:t>
      </w:r>
      <w:r w:rsidR="009B2E0C">
        <w:rPr>
          <w:rFonts w:ascii="Arial" w:hAnsi="Arial" w:cs="Arial"/>
          <w:color w:val="595959" w:themeColor="text1" w:themeTint="A6"/>
          <w:lang w:val="en-US"/>
        </w:rPr>
        <w:t>n</w:t>
      </w:r>
      <w:r w:rsidR="005B605E" w:rsidRPr="005B605E">
        <w:rPr>
          <w:rFonts w:ascii="Arial" w:hAnsi="Arial" w:cs="Arial"/>
          <w:color w:val="595959" w:themeColor="text1" w:themeTint="A6"/>
          <w:lang w:val="en-US"/>
        </w:rPr>
        <w:t xml:space="preserve"> exemplary practical vocational activity because it </w:t>
      </w:r>
      <w:r w:rsidR="005B605E">
        <w:rPr>
          <w:rFonts w:ascii="Arial" w:hAnsi="Arial" w:cs="Arial"/>
          <w:color w:val="595959" w:themeColor="text1" w:themeTint="A6"/>
          <w:lang w:val="en-US"/>
        </w:rPr>
        <w:t>is</w:t>
      </w:r>
      <w:r w:rsidR="009B2E0C">
        <w:rPr>
          <w:rFonts w:ascii="Arial" w:hAnsi="Arial" w:cs="Arial"/>
          <w:color w:val="595959" w:themeColor="text1" w:themeTint="A6"/>
          <w:lang w:val="en-US"/>
        </w:rPr>
        <w:t xml:space="preserve"> both</w:t>
      </w:r>
      <w:r w:rsidR="005B605E">
        <w:rPr>
          <w:rFonts w:ascii="Arial" w:hAnsi="Arial" w:cs="Arial"/>
          <w:color w:val="595959" w:themeColor="text1" w:themeTint="A6"/>
          <w:lang w:val="en-US"/>
        </w:rPr>
        <w:t xml:space="preserve"> </w:t>
      </w:r>
      <w:r w:rsidR="009B2E0C">
        <w:rPr>
          <w:rFonts w:ascii="Arial" w:hAnsi="Arial" w:cs="Arial"/>
          <w:color w:val="595959" w:themeColor="text1" w:themeTint="A6"/>
          <w:lang w:val="en-US"/>
        </w:rPr>
        <w:t>a constituent</w:t>
      </w:r>
      <w:r w:rsidR="005B605E" w:rsidRPr="005B605E">
        <w:rPr>
          <w:rFonts w:ascii="Arial" w:hAnsi="Arial" w:cs="Arial"/>
          <w:color w:val="595959" w:themeColor="text1" w:themeTint="A6"/>
          <w:lang w:val="en-US"/>
        </w:rPr>
        <w:t xml:space="preserve"> </w:t>
      </w:r>
      <w:r w:rsidR="009B2E0C">
        <w:rPr>
          <w:rFonts w:ascii="Arial" w:hAnsi="Arial" w:cs="Arial"/>
          <w:color w:val="595959" w:themeColor="text1" w:themeTint="A6"/>
          <w:lang w:val="en-US"/>
        </w:rPr>
        <w:t xml:space="preserve">of the vocational training for laboratory chemists and a student experiment </w:t>
      </w:r>
      <w:r w:rsidR="00F55328">
        <w:rPr>
          <w:rFonts w:ascii="Arial" w:hAnsi="Arial" w:cs="Arial"/>
          <w:color w:val="595959" w:themeColor="text1" w:themeTint="A6"/>
          <w:lang w:val="en-US"/>
        </w:rPr>
        <w:t xml:space="preserve">practicable </w:t>
      </w:r>
      <w:r w:rsidR="009B2E0C">
        <w:rPr>
          <w:rFonts w:ascii="Arial" w:hAnsi="Arial" w:cs="Arial"/>
          <w:color w:val="595959" w:themeColor="text1" w:themeTint="A6"/>
          <w:lang w:val="en-US"/>
        </w:rPr>
        <w:t xml:space="preserve">in school settings. During the student experiment of acid-base titration, the students first acquaint themselves with the handling of a burette (experiment 1). The students then are given a solution of sodium hydroxide </w:t>
      </w:r>
      <w:r w:rsidR="003C7302">
        <w:rPr>
          <w:rFonts w:ascii="Arial" w:hAnsi="Arial" w:cs="Arial"/>
          <w:color w:val="595959" w:themeColor="text1" w:themeTint="A6"/>
          <w:lang w:val="en-US"/>
        </w:rPr>
        <w:t xml:space="preserve">of unknown concentration (e.g. 1%), which they titrate with diluted hydrochloric acid (e.g. 3.5%) until the neutralization point is reached (identifiable by the use </w:t>
      </w:r>
      <w:r w:rsidR="0099516D">
        <w:rPr>
          <w:rFonts w:ascii="Arial" w:hAnsi="Arial" w:cs="Arial"/>
          <w:color w:val="595959" w:themeColor="text1" w:themeTint="A6"/>
          <w:lang w:val="en-US"/>
        </w:rPr>
        <w:t xml:space="preserve">of universal indicator) (experiment 2). </w:t>
      </w:r>
    </w:p>
    <w:p w:rsidR="00F858E7" w:rsidRDefault="0099516D" w:rsidP="00F858E7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  <w:r>
        <w:rPr>
          <w:rFonts w:ascii="Arial" w:hAnsi="Arial" w:cs="Arial"/>
          <w:color w:val="595959" w:themeColor="text1" w:themeTint="A6"/>
          <w:lang w:val="en-US"/>
        </w:rPr>
        <w:lastRenderedPageBreak/>
        <w:t xml:space="preserve">In a second experiment the students are given a second </w:t>
      </w:r>
      <w:r w:rsidR="00514069">
        <w:rPr>
          <w:rFonts w:ascii="Arial" w:hAnsi="Arial" w:cs="Arial"/>
          <w:color w:val="595959" w:themeColor="text1" w:themeTint="A6"/>
          <w:lang w:val="en-US"/>
        </w:rPr>
        <w:t>sample</w:t>
      </w:r>
      <w:r w:rsidR="00DF38AA">
        <w:rPr>
          <w:rFonts w:ascii="Arial" w:hAnsi="Arial" w:cs="Arial"/>
          <w:color w:val="595959" w:themeColor="text1" w:themeTint="A6"/>
          <w:lang w:val="en-US"/>
        </w:rPr>
        <w:t xml:space="preserve"> of sodium hydroxide of unknown concentration (e.g. 2%), which they also titrate with diluted hydrochloric acid (e.g. 3.5%) until the neutralization point is reached (experiment 3). According to the students’ level of competence</w:t>
      </w:r>
      <w:r w:rsidR="00B71E46">
        <w:rPr>
          <w:rFonts w:ascii="Arial" w:hAnsi="Arial" w:cs="Arial"/>
          <w:color w:val="595959" w:themeColor="text1" w:themeTint="A6"/>
          <w:lang w:val="en-US"/>
        </w:rPr>
        <w:t xml:space="preserve">, </w:t>
      </w:r>
      <w:r w:rsidR="00117F9E">
        <w:rPr>
          <w:rFonts w:ascii="Arial" w:hAnsi="Arial" w:cs="Arial"/>
          <w:color w:val="595959" w:themeColor="text1" w:themeTint="A6"/>
          <w:lang w:val="en-US"/>
        </w:rPr>
        <w:t xml:space="preserve">statements on which </w:t>
      </w:r>
      <w:r w:rsidR="00514069">
        <w:rPr>
          <w:rFonts w:ascii="Arial" w:hAnsi="Arial" w:cs="Arial"/>
          <w:color w:val="595959" w:themeColor="text1" w:themeTint="A6"/>
          <w:lang w:val="en-US"/>
        </w:rPr>
        <w:t>sample</w:t>
      </w:r>
      <w:r w:rsidR="009F5C4A">
        <w:rPr>
          <w:rFonts w:ascii="Arial" w:hAnsi="Arial" w:cs="Arial"/>
          <w:color w:val="595959" w:themeColor="text1" w:themeTint="A6"/>
          <w:lang w:val="en-US"/>
        </w:rPr>
        <w:t xml:space="preserve"> contains more sodium hydroxide</w:t>
      </w:r>
      <w:r w:rsidR="00117F9E">
        <w:rPr>
          <w:rFonts w:ascii="Arial" w:hAnsi="Arial" w:cs="Arial"/>
          <w:color w:val="595959" w:themeColor="text1" w:themeTint="A6"/>
          <w:lang w:val="en-US"/>
        </w:rPr>
        <w:t xml:space="preserve"> can be made with the help of the conducted titrations. </w:t>
      </w:r>
      <w:r w:rsidR="00F858E7">
        <w:rPr>
          <w:rFonts w:ascii="Arial" w:hAnsi="Arial" w:cs="Arial"/>
          <w:color w:val="595959" w:themeColor="text1" w:themeTint="A6"/>
          <w:lang w:val="en-US"/>
        </w:rPr>
        <w:t>A quantitative determination is also possible. In both cases, the aim</w:t>
      </w:r>
      <w:r w:rsidR="009F5C4A">
        <w:rPr>
          <w:rFonts w:ascii="Arial" w:hAnsi="Arial" w:cs="Arial"/>
          <w:color w:val="595959" w:themeColor="text1" w:themeTint="A6"/>
          <w:lang w:val="en-US"/>
        </w:rPr>
        <w:t xml:space="preserve"> </w:t>
      </w:r>
      <w:r w:rsidR="00F858E7">
        <w:rPr>
          <w:rFonts w:ascii="Arial" w:hAnsi="Arial" w:cs="Arial"/>
          <w:color w:val="595959" w:themeColor="text1" w:themeTint="A6"/>
          <w:lang w:val="en-US"/>
        </w:rPr>
        <w:t>/ the reason for the applicat</w:t>
      </w:r>
      <w:r w:rsidR="009F5C4A">
        <w:rPr>
          <w:rFonts w:ascii="Arial" w:hAnsi="Arial" w:cs="Arial"/>
          <w:color w:val="595959" w:themeColor="text1" w:themeTint="A6"/>
          <w:lang w:val="en-US"/>
        </w:rPr>
        <w:t xml:space="preserve">ion of the method of titration is illustrated to the students. </w:t>
      </w:r>
    </w:p>
    <w:p w:rsidR="00F31D8F" w:rsidRDefault="00F858E7" w:rsidP="00F858E7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  <w:r>
        <w:rPr>
          <w:rFonts w:ascii="Arial" w:hAnsi="Arial" w:cs="Arial"/>
          <w:color w:val="595959" w:themeColor="text1" w:themeTint="A6"/>
          <w:lang w:val="en-US"/>
        </w:rPr>
        <w:t xml:space="preserve">In addition to the practical </w:t>
      </w:r>
      <w:r w:rsidR="00514069">
        <w:rPr>
          <w:rFonts w:ascii="Arial" w:hAnsi="Arial" w:cs="Arial"/>
          <w:color w:val="595959" w:themeColor="text1" w:themeTint="A6"/>
          <w:lang w:val="en-US"/>
        </w:rPr>
        <w:t>implementation of the student experiments, the students are supposed to practice the protocolling of their assays (according to the level of competence</w:t>
      </w:r>
      <w:r w:rsidR="00172E98">
        <w:rPr>
          <w:rFonts w:ascii="Arial" w:hAnsi="Arial" w:cs="Arial"/>
          <w:color w:val="595959" w:themeColor="text1" w:themeTint="A6"/>
          <w:lang w:val="en-US"/>
        </w:rPr>
        <w:t>:</w:t>
      </w:r>
      <w:r w:rsidR="00514069">
        <w:rPr>
          <w:rFonts w:ascii="Arial" w:hAnsi="Arial" w:cs="Arial"/>
          <w:color w:val="595959" w:themeColor="text1" w:themeTint="A6"/>
          <w:lang w:val="en-US"/>
        </w:rPr>
        <w:t xml:space="preserve"> preparation of at least one protocol with special focus on implementation and </w:t>
      </w:r>
      <w:r w:rsidR="00F31D8F">
        <w:rPr>
          <w:rFonts w:ascii="Arial" w:hAnsi="Arial" w:cs="Arial"/>
          <w:color w:val="595959" w:themeColor="text1" w:themeTint="A6"/>
          <w:lang w:val="en-US"/>
        </w:rPr>
        <w:t xml:space="preserve">observations). </w:t>
      </w:r>
    </w:p>
    <w:p w:rsidR="00F31D8F" w:rsidRDefault="00F31D8F" w:rsidP="00F858E7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  <w:r>
        <w:rPr>
          <w:rFonts w:ascii="Arial" w:hAnsi="Arial" w:cs="Arial"/>
          <w:color w:val="595959" w:themeColor="text1" w:themeTint="A6"/>
          <w:lang w:val="en-US"/>
        </w:rPr>
        <w:t>Fu</w:t>
      </w:r>
      <w:r w:rsidR="009F5C4A">
        <w:rPr>
          <w:rFonts w:ascii="Arial" w:hAnsi="Arial" w:cs="Arial"/>
          <w:color w:val="595959" w:themeColor="text1" w:themeTint="A6"/>
          <w:lang w:val="en-US"/>
        </w:rPr>
        <w:t>r</w:t>
      </w:r>
      <w:r>
        <w:rPr>
          <w:rFonts w:ascii="Arial" w:hAnsi="Arial" w:cs="Arial"/>
          <w:color w:val="595959" w:themeColor="text1" w:themeTint="A6"/>
          <w:lang w:val="en-US"/>
        </w:rPr>
        <w:t>thermore, the students can either be provided with various career information from the Federal Employment Agency (</w:t>
      </w:r>
      <w:proofErr w:type="spellStart"/>
      <w:r>
        <w:rPr>
          <w:rFonts w:ascii="Arial" w:hAnsi="Arial" w:cs="Arial"/>
          <w:color w:val="595959" w:themeColor="text1" w:themeTint="A6"/>
          <w:lang w:val="en-US"/>
        </w:rPr>
        <w:t>Bundesagentur</w:t>
      </w:r>
      <w:proofErr w:type="spellEnd"/>
      <w:r>
        <w:rPr>
          <w:rFonts w:ascii="Arial" w:hAnsi="Arial" w:cs="Arial"/>
          <w:color w:val="595959" w:themeColor="text1" w:themeTint="A6"/>
          <w:lang w:val="en-US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lang w:val="en-US"/>
        </w:rPr>
        <w:t>für</w:t>
      </w:r>
      <w:proofErr w:type="spellEnd"/>
      <w:r>
        <w:rPr>
          <w:rFonts w:ascii="Arial" w:hAnsi="Arial" w:cs="Arial"/>
          <w:color w:val="595959" w:themeColor="text1" w:themeTint="A6"/>
          <w:lang w:val="en-US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lang w:val="en-US"/>
        </w:rPr>
        <w:t>Arbeit</w:t>
      </w:r>
      <w:proofErr w:type="spellEnd"/>
      <w:r>
        <w:rPr>
          <w:rFonts w:ascii="Arial" w:hAnsi="Arial" w:cs="Arial"/>
          <w:color w:val="595959" w:themeColor="text1" w:themeTint="A6"/>
          <w:lang w:val="en-US"/>
        </w:rPr>
        <w:t>) (films, texts, etc.) or can carry out their own (internet) research. A very helpful resource in this context is the webpage:</w:t>
      </w:r>
    </w:p>
    <w:p w:rsidR="006C4043" w:rsidRPr="00C50CA7" w:rsidRDefault="00040811" w:rsidP="00C50CA7">
      <w:pPr>
        <w:pStyle w:val="Textkrper"/>
        <w:jc w:val="both"/>
        <w:rPr>
          <w:rFonts w:ascii="Arial" w:hAnsi="Arial" w:cs="Arial"/>
          <w:color w:val="0000FF"/>
          <w:u w:val="single"/>
          <w:lang w:val="en-US"/>
        </w:rPr>
      </w:pPr>
      <w:hyperlink r:id="rId8" w:history="1">
        <w:r w:rsidR="00F31D8F" w:rsidRPr="00F31D8F">
          <w:rPr>
            <w:rStyle w:val="Hyperlink"/>
            <w:rFonts w:ascii="Arial" w:hAnsi="Arial" w:cs="Arial"/>
            <w:sz w:val="20"/>
            <w:szCs w:val="20"/>
            <w:lang w:val="en-US"/>
          </w:rPr>
          <w:t>http://berufenet.arbeitsagentur.de/berufe/index.jsp</w:t>
        </w:r>
      </w:hyperlink>
    </w:p>
    <w:p w:rsidR="00C50CA7" w:rsidRDefault="00C50CA7" w:rsidP="006C4043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Convenient forms of presentation for the findings obtained are posters, student presentations, or quiz questions developed by the students in the format of the TV-quiz show </w:t>
      </w:r>
      <w:r w:rsidR="00172E98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‘</w:t>
      </w:r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Who Wants to Be a Millionaire</w:t>
      </w:r>
      <w:r w:rsidR="00172E98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’</w:t>
      </w:r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. Role plays, self-</w:t>
      </w:r>
      <w:r w:rsidR="00172E98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created</w:t>
      </w:r>
      <w:bookmarkStart w:id="0" w:name="_GoBack"/>
      <w:bookmarkEnd w:id="0"/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 short films or radio spots on occupations and experiments are also possible. </w:t>
      </w:r>
    </w:p>
    <w:p w:rsidR="006C4043" w:rsidRPr="00F55328" w:rsidRDefault="006C4043" w:rsidP="006C4043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</w:p>
    <w:p w:rsidR="006C4043" w:rsidRPr="00F55328" w:rsidRDefault="006C4043" w:rsidP="006C4043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</w:p>
    <w:p w:rsidR="00844DE2" w:rsidRPr="00F55328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844DE2" w:rsidRPr="00F55328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844DE2" w:rsidRPr="00F55328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844DE2" w:rsidRPr="00F55328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231B79" w:rsidRDefault="00F03D4D" w:rsidP="00231B79">
      <w:pPr>
        <w:pStyle w:val="Textkrper"/>
        <w:jc w:val="both"/>
        <w:rPr>
          <w:rFonts w:ascii="Arial" w:hAnsi="Arial" w:cs="Arial"/>
          <w:color w:val="595959" w:themeColor="text1" w:themeTint="A6"/>
          <w:lang w:val="en-GB"/>
        </w:rPr>
      </w:pPr>
      <w:r w:rsidRPr="00F03D4D">
        <w:rPr>
          <w:rFonts w:ascii="Arial" w:hAnsi="Arial" w:cs="Arial"/>
          <w:noProof/>
          <w:color w:val="595959" w:themeColor="text1" w:themeTint="A6"/>
          <w:lang w:val="de-DE" w:eastAsia="de-DE"/>
        </w:rPr>
        <w:lastRenderedPageBreak/>
        <w:drawing>
          <wp:inline distT="0" distB="0" distL="0" distR="0">
            <wp:extent cx="5760720" cy="830855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4D" w:rsidRPr="00F03D4D" w:rsidRDefault="00F03D4D" w:rsidP="00F03D4D">
      <w:pPr>
        <w:rPr>
          <w:lang w:val="en-GB"/>
        </w:rPr>
      </w:pPr>
      <w:r w:rsidRPr="00F03D4D">
        <w:rPr>
          <w:noProof/>
          <w:lang w:val="de-DE" w:eastAsia="de-DE"/>
        </w:rPr>
        <w:lastRenderedPageBreak/>
        <w:drawing>
          <wp:inline distT="0" distB="0" distL="0" distR="0">
            <wp:extent cx="5760720" cy="819261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D4D" w:rsidRPr="00F03D4D" w:rsidSect="00466D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DC0" w:rsidRDefault="00122DC0" w:rsidP="008B6F2C">
      <w:r>
        <w:separator/>
      </w:r>
    </w:p>
  </w:endnote>
  <w:endnote w:type="continuationSeparator" w:id="0">
    <w:p w:rsidR="00122DC0" w:rsidRDefault="00122DC0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120" w:rsidRDefault="008B31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897D87" w:rsidRDefault="00040811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26350A39" wp14:editId="5BD5EA99">
                    <wp:extent cx="600075" cy="471569"/>
                    <wp:effectExtent l="19050" t="0" r="9525" b="0"/>
                    <wp:docPr id="11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897D87" w:rsidRPr="00865375" w:rsidRDefault="00897D87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Dev</w:t>
              </w:r>
              <w:r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eloped by: </w:t>
              </w:r>
              <w:r w:rsidR="008B3120">
                <w:rPr>
                  <w:rFonts w:ascii="Arial" w:hAnsi="Arial" w:cs="Arial"/>
                  <w:sz w:val="16"/>
                  <w:szCs w:val="16"/>
                  <w:lang w:val="en-US"/>
                </w:rPr>
                <w:t>Michael</w:t>
              </w:r>
              <w:r w:rsidR="00CB0F68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A</w:t>
              </w:r>
              <w:r w:rsidR="008B3120">
                <w:rPr>
                  <w:rFonts w:ascii="Arial" w:hAnsi="Arial" w:cs="Arial"/>
                  <w:sz w:val="16"/>
                  <w:szCs w:val="16"/>
                  <w:lang w:val="en-US"/>
                </w:rPr>
                <w:t>lbertus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(20</w:t>
              </w:r>
              <w:r w:rsidR="00CB0F68">
                <w:rPr>
                  <w:rFonts w:ascii="Arial" w:hAnsi="Arial" w:cs="Arial"/>
                  <w:sz w:val="16"/>
                  <w:szCs w:val="16"/>
                  <w:lang w:val="en-US"/>
                </w:rPr>
                <w:t>12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)</w:t>
              </w:r>
            </w:p>
            <w:p w:rsidR="00897D87" w:rsidRPr="00865375" w:rsidRDefault="00897D87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Institution: Department of Chemistry Education, Freie Universität Berlin</w:t>
              </w:r>
              <w:r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– Germany</w:t>
              </w:r>
            </w:p>
            <w:p w:rsidR="00897D87" w:rsidRPr="00CB0F68" w:rsidRDefault="00897D87" w:rsidP="00CB0F68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895CAC5" wp14:editId="6590C394">
                    <wp:extent cx="770581" cy="468000"/>
                    <wp:effectExtent l="19050" t="0" r="0" b="0"/>
                    <wp:docPr id="12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Pr="00AC6D23" w:rsidRDefault="00897D87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proofErr w:type="gramStart"/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t>for</w:t>
        </w:r>
        <w:proofErr w:type="gramEnd"/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t xml:space="preserve"> teachers – 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172E98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3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Pr="00AC6D23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172E98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4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897D87" w:rsidRDefault="00040811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>
                    <wp:extent cx="600075" cy="471569"/>
                    <wp:effectExtent l="19050" t="0" r="9525" b="0"/>
                    <wp:docPr id="15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897D87" w:rsidRDefault="00897D87" w:rsidP="00E85839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Project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funded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within the EC </w:t>
              </w:r>
              <w:r w:rsidR="00AC6D23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FP7 Programme: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5.2.2.1 – SiS-2010-2.2.1</w:t>
              </w:r>
            </w:p>
            <w:p w:rsidR="00897D87" w:rsidRPr="00E56B1A" w:rsidRDefault="00897D87" w:rsidP="00E85839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 w:rsidR="00AC6D23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897D87" w:rsidRPr="008B6F2C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>
                    <wp:extent cx="770581" cy="468000"/>
                    <wp:effectExtent l="19050" t="0" r="0" b="0"/>
                    <wp:docPr id="1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Default="0052527B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172E98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897D87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172E98">
          <w:rPr>
            <w:b/>
            <w:noProof/>
            <w:color w:val="808080" w:themeColor="background1" w:themeShade="80"/>
            <w:sz w:val="16"/>
            <w:szCs w:val="16"/>
          </w:rPr>
          <w:t>4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DC0" w:rsidRDefault="00122DC0" w:rsidP="008B6F2C">
      <w:r>
        <w:separator/>
      </w:r>
    </w:p>
  </w:footnote>
  <w:footnote w:type="continuationSeparator" w:id="0">
    <w:p w:rsidR="00122DC0" w:rsidRDefault="00122DC0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120" w:rsidRDefault="008B312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AB21D2">
      <w:tc>
        <w:tcPr>
          <w:tcW w:w="4536" w:type="dxa"/>
        </w:tcPr>
        <w:p w:rsidR="00897D87" w:rsidRDefault="00897D87" w:rsidP="00AB21D2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9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AB21D2">
          <w:pPr>
            <w:pStyle w:val="Kopfzeile"/>
            <w:jc w:val="right"/>
          </w:pPr>
        </w:p>
        <w:p w:rsidR="00897D87" w:rsidRPr="008B6F2C" w:rsidRDefault="00897D87" w:rsidP="00AB21D2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10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897D87" w:rsidRPr="00223C17" w:rsidRDefault="00897D87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0D0974">
      <w:tc>
        <w:tcPr>
          <w:tcW w:w="4536" w:type="dxa"/>
        </w:tcPr>
        <w:p w:rsidR="00897D87" w:rsidRDefault="00897D87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13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0D0974">
          <w:pPr>
            <w:pStyle w:val="Kopfzeile"/>
            <w:jc w:val="right"/>
          </w:pPr>
        </w:p>
        <w:p w:rsidR="00897D87" w:rsidRPr="008B6F2C" w:rsidRDefault="00897D87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14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897D87" w:rsidRPr="00223C17" w:rsidRDefault="00897D87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3" type="connector" idref="#_x0000_s2049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352A2"/>
    <w:rsid w:val="00066128"/>
    <w:rsid w:val="000711C4"/>
    <w:rsid w:val="000D0974"/>
    <w:rsid w:val="00117F9E"/>
    <w:rsid w:val="00122DC0"/>
    <w:rsid w:val="00172E98"/>
    <w:rsid w:val="00173FD6"/>
    <w:rsid w:val="00194FB3"/>
    <w:rsid w:val="001B4D5B"/>
    <w:rsid w:val="00231B79"/>
    <w:rsid w:val="00255E30"/>
    <w:rsid w:val="00280DDE"/>
    <w:rsid w:val="002868DB"/>
    <w:rsid w:val="00331804"/>
    <w:rsid w:val="00355E79"/>
    <w:rsid w:val="003C7302"/>
    <w:rsid w:val="003F54DA"/>
    <w:rsid w:val="00416F55"/>
    <w:rsid w:val="00457813"/>
    <w:rsid w:val="00461E66"/>
    <w:rsid w:val="00466D8F"/>
    <w:rsid w:val="004A23C9"/>
    <w:rsid w:val="004D30A3"/>
    <w:rsid w:val="005116F8"/>
    <w:rsid w:val="00514069"/>
    <w:rsid w:val="0052527B"/>
    <w:rsid w:val="00571110"/>
    <w:rsid w:val="00576E0C"/>
    <w:rsid w:val="005B605E"/>
    <w:rsid w:val="005D3F23"/>
    <w:rsid w:val="005D68A5"/>
    <w:rsid w:val="0065461F"/>
    <w:rsid w:val="0067081D"/>
    <w:rsid w:val="0068607F"/>
    <w:rsid w:val="00694DFA"/>
    <w:rsid w:val="006C4043"/>
    <w:rsid w:val="007604FC"/>
    <w:rsid w:val="007622C1"/>
    <w:rsid w:val="00772A90"/>
    <w:rsid w:val="007D1031"/>
    <w:rsid w:val="007D1AD2"/>
    <w:rsid w:val="007F3376"/>
    <w:rsid w:val="00844DE2"/>
    <w:rsid w:val="00846858"/>
    <w:rsid w:val="00865375"/>
    <w:rsid w:val="00877217"/>
    <w:rsid w:val="0088044C"/>
    <w:rsid w:val="00897D87"/>
    <w:rsid w:val="008A07D6"/>
    <w:rsid w:val="008B0395"/>
    <w:rsid w:val="008B3120"/>
    <w:rsid w:val="008B6F2C"/>
    <w:rsid w:val="008F754A"/>
    <w:rsid w:val="0090639B"/>
    <w:rsid w:val="0099172E"/>
    <w:rsid w:val="0099516D"/>
    <w:rsid w:val="009B2E0C"/>
    <w:rsid w:val="009F5C4A"/>
    <w:rsid w:val="009F65B3"/>
    <w:rsid w:val="00A048D7"/>
    <w:rsid w:val="00A06E2E"/>
    <w:rsid w:val="00A25CDD"/>
    <w:rsid w:val="00A27608"/>
    <w:rsid w:val="00A76CD4"/>
    <w:rsid w:val="00A929B0"/>
    <w:rsid w:val="00AB21D2"/>
    <w:rsid w:val="00AC3733"/>
    <w:rsid w:val="00AC6D23"/>
    <w:rsid w:val="00B71E46"/>
    <w:rsid w:val="00B808C5"/>
    <w:rsid w:val="00B82CC2"/>
    <w:rsid w:val="00BA4ECC"/>
    <w:rsid w:val="00BB487B"/>
    <w:rsid w:val="00BC0E68"/>
    <w:rsid w:val="00BE1133"/>
    <w:rsid w:val="00C50CA7"/>
    <w:rsid w:val="00C52A25"/>
    <w:rsid w:val="00C62E1B"/>
    <w:rsid w:val="00CB0F68"/>
    <w:rsid w:val="00CD3F01"/>
    <w:rsid w:val="00CE0944"/>
    <w:rsid w:val="00D243BA"/>
    <w:rsid w:val="00D619BC"/>
    <w:rsid w:val="00DD4522"/>
    <w:rsid w:val="00DF38AA"/>
    <w:rsid w:val="00E1477B"/>
    <w:rsid w:val="00E85839"/>
    <w:rsid w:val="00F03D4D"/>
    <w:rsid w:val="00F31D8F"/>
    <w:rsid w:val="00F55328"/>
    <w:rsid w:val="00F858E7"/>
    <w:rsid w:val="00FA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3D6B09F-D0C0-4CFE-BF50-A92F55E3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berschrift1">
    <w:name w:val="heading 1"/>
    <w:basedOn w:val="Standard"/>
    <w:next w:val="Textkrper"/>
    <w:link w:val="berschrift1Zchn"/>
    <w:qFormat/>
    <w:rsid w:val="00231B79"/>
    <w:pPr>
      <w:keepNext/>
      <w:spacing w:before="360" w:after="240"/>
      <w:outlineLvl w:val="0"/>
    </w:pPr>
    <w:rPr>
      <w:rFonts w:ascii="Times" w:hAnsi="Times" w:cs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231B79"/>
    <w:rPr>
      <w:rFonts w:ascii="Times" w:eastAsia="Times New Roman" w:hAnsi="Times" w:cs="Arial"/>
      <w:bCs/>
      <w:kern w:val="32"/>
      <w:sz w:val="32"/>
      <w:szCs w:val="32"/>
      <w:lang w:val="pt-PT" w:eastAsia="pt-PT"/>
    </w:rPr>
  </w:style>
  <w:style w:type="paragraph" w:styleId="Beschriftung">
    <w:name w:val="caption"/>
    <w:basedOn w:val="Standard"/>
    <w:next w:val="Standard"/>
    <w:qFormat/>
    <w:rsid w:val="00231B79"/>
    <w:pPr>
      <w:spacing w:before="120" w:after="240"/>
    </w:pPr>
    <w:rPr>
      <w:rFonts w:ascii="Times" w:hAnsi="Times"/>
      <w:b/>
      <w:bCs/>
      <w:sz w:val="16"/>
      <w:szCs w:val="16"/>
    </w:rPr>
  </w:style>
  <w:style w:type="paragraph" w:customStyle="1" w:styleId="Literaturverzeichnis3">
    <w:name w:val="Literaturverzeichnis3"/>
    <w:basedOn w:val="Funotentext"/>
    <w:rsid w:val="00231B79"/>
  </w:style>
  <w:style w:type="paragraph" w:styleId="Funotentext">
    <w:name w:val="footnote text"/>
    <w:basedOn w:val="Standard"/>
    <w:link w:val="FunotentextZchn"/>
    <w:uiPriority w:val="99"/>
    <w:semiHidden/>
    <w:unhideWhenUsed/>
    <w:rsid w:val="00231B7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31B79"/>
    <w:rPr>
      <w:rFonts w:ascii="Times New Roman" w:eastAsia="Times New Roman" w:hAnsi="Times New Roman" w:cs="Times New Roman"/>
      <w:sz w:val="20"/>
      <w:szCs w:val="20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ufenet.arbeitsagentur.de/berufe/index.jsp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D5E43-949A-4FEA-98E0-BFCB37EFE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418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Kajsa Mohr</cp:lastModifiedBy>
  <cp:revision>16</cp:revision>
  <cp:lastPrinted>2011-07-28T15:45:00Z</cp:lastPrinted>
  <dcterms:created xsi:type="dcterms:W3CDTF">2015-01-26T12:57:00Z</dcterms:created>
  <dcterms:modified xsi:type="dcterms:W3CDTF">2015-03-10T07:44:00Z</dcterms:modified>
</cp:coreProperties>
</file>